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Borders>
          <w:top w:val="double" w:sz="4" w:space="0" w:color="4472C4"/>
          <w:left w:val="double" w:sz="4" w:space="0" w:color="4472C4"/>
          <w:bottom w:val="double" w:sz="4" w:space="0" w:color="4472C4"/>
          <w:right w:val="double" w:sz="4" w:space="0" w:color="4472C4"/>
          <w:insideH w:val="double" w:sz="4" w:space="0" w:color="4472C4"/>
          <w:insideV w:val="double" w:sz="4" w:space="0" w:color="4472C4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10031"/>
      </w:tblGrid>
      <w:tr w:rsidR="0098646F">
        <w:tc>
          <w:tcPr>
            <w:tcW w:w="10031" w:type="dxa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D9D9D9"/>
            <w:tcMar>
              <w:left w:w="83" w:type="dxa"/>
            </w:tcMar>
          </w:tcPr>
          <w:p w:rsidR="0098646F" w:rsidRDefault="0098646F">
            <w:pPr>
              <w:pStyle w:val="1"/>
              <w:spacing w:before="0"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646F" w:rsidRDefault="00C06668">
            <w:pPr>
              <w:pStyle w:val="1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n1279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ІНФОРМАЦІЯ </w:t>
            </w:r>
          </w:p>
          <w:p w:rsidR="0098646F" w:rsidRDefault="00C06668">
            <w:pPr>
              <w:pStyle w:val="1"/>
              <w:spacing w:before="0"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щодо відсутності на </w:t>
            </w:r>
            <w:r w:rsidRPr="00B909D8">
              <w:rPr>
                <w:rFonts w:ascii="Times New Roman" w:hAnsi="Times New Roman"/>
                <w:sz w:val="28"/>
                <w:szCs w:val="28"/>
                <w:lang w:val="ru-RU"/>
              </w:rPr>
              <w:t>веб-сайті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документів</w:t>
            </w:r>
          </w:p>
          <w:p w:rsidR="0098646F" w:rsidRDefault="0098646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tbl>
            <w:tblPr>
              <w:tblW w:w="4900" w:type="pct"/>
              <w:tblBorders>
                <w:top w:val="threeDEngrave" w:sz="12" w:space="0" w:color="00000A"/>
                <w:left w:val="single" w:sz="6" w:space="0" w:color="000001"/>
                <w:bottom w:val="single" w:sz="6" w:space="0" w:color="000001"/>
                <w:right w:val="double" w:sz="4" w:space="0" w:color="000001"/>
                <w:insideH w:val="single" w:sz="6" w:space="0" w:color="000001"/>
                <w:insideV w:val="double" w:sz="4" w:space="0" w:color="000001"/>
              </w:tblBorders>
              <w:tblCellMar>
                <w:left w:w="-7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41"/>
              <w:gridCol w:w="5387"/>
            </w:tblGrid>
            <w:tr w:rsidR="0098646F">
              <w:trPr>
                <w:trHeight w:val="60"/>
              </w:trPr>
              <w:tc>
                <w:tcPr>
                  <w:tcW w:w="4241" w:type="dxa"/>
                  <w:tcBorders>
                    <w:top w:val="threeDEngrave" w:sz="12" w:space="0" w:color="00000A"/>
                    <w:left w:val="single" w:sz="6" w:space="0" w:color="000001"/>
                    <w:bottom w:val="single" w:sz="6" w:space="0" w:color="000001"/>
                    <w:right w:val="double" w:sz="4" w:space="0" w:color="000001"/>
                  </w:tcBorders>
                  <w:shd w:val="clear" w:color="auto" w:fill="auto"/>
                  <w:tcMar>
                    <w:left w:w="-7" w:type="dxa"/>
                  </w:tcMar>
                  <w:vAlign w:val="center"/>
                </w:tcPr>
                <w:p w:rsidR="0098646F" w:rsidRDefault="00C06668">
                  <w:pPr>
                    <w:spacing w:after="0" w:line="240" w:lineRule="auto"/>
                    <w:ind w:left="128" w:right="235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Повне найменування Товариства</w:t>
                  </w:r>
                </w:p>
              </w:tc>
              <w:tc>
                <w:tcPr>
                  <w:tcW w:w="5386" w:type="dxa"/>
                  <w:tcBorders>
                    <w:top w:val="threeDEngrave" w:sz="12" w:space="0" w:color="00000A"/>
                    <w:left w:val="double" w:sz="4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left w:w="-15" w:type="dxa"/>
                  </w:tcMar>
                </w:tcPr>
                <w:p w:rsidR="0098646F" w:rsidRDefault="00C06668" w:rsidP="00250C86">
                  <w:pPr>
                    <w:spacing w:after="0" w:line="240" w:lineRule="auto"/>
                    <w:ind w:left="146" w:right="274"/>
                  </w:pP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>АКЦІОНЕРНЕ ТОВАРИСТВО "</w:t>
                  </w:r>
                  <w:r w:rsidR="00250C86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>МАРГАНЕЦЬКИЙ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 xml:space="preserve"> ГІРНИЧО-ЗБАГАЧУВАЛЬНИЙ КОМБІНАТ"</w:t>
                  </w:r>
                </w:p>
              </w:tc>
            </w:tr>
            <w:tr w:rsidR="0098646F">
              <w:trPr>
                <w:trHeight w:val="60"/>
              </w:trPr>
              <w:tc>
                <w:tcPr>
                  <w:tcW w:w="424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double" w:sz="4" w:space="0" w:color="000001"/>
                  </w:tcBorders>
                  <w:shd w:val="clear" w:color="auto" w:fill="auto"/>
                  <w:tcMar>
                    <w:left w:w="-7" w:type="dxa"/>
                  </w:tcMar>
                  <w:vAlign w:val="center"/>
                </w:tcPr>
                <w:p w:rsidR="0098646F" w:rsidRDefault="00C06668">
                  <w:pPr>
                    <w:spacing w:after="0" w:line="240" w:lineRule="auto"/>
                    <w:ind w:left="128" w:right="235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Ідентифікаційний код юридичної особи</w:t>
                  </w:r>
                </w:p>
              </w:tc>
              <w:tc>
                <w:tcPr>
                  <w:tcW w:w="5386" w:type="dxa"/>
                  <w:tcBorders>
                    <w:top w:val="single" w:sz="6" w:space="0" w:color="000001"/>
                    <w:left w:val="double" w:sz="4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left w:w="-15" w:type="dxa"/>
                  </w:tcMar>
                  <w:vAlign w:val="center"/>
                </w:tcPr>
                <w:p w:rsidR="0098646F" w:rsidRDefault="00C06668" w:rsidP="00250C86">
                  <w:pPr>
                    <w:spacing w:after="0" w:line="240" w:lineRule="auto"/>
                    <w:ind w:left="146" w:right="274"/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001909</w:t>
                  </w:r>
                  <w:r w:rsidR="00250C86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11</w:t>
                  </w:r>
                </w:p>
              </w:tc>
            </w:tr>
            <w:tr w:rsidR="0098646F">
              <w:trPr>
                <w:trHeight w:val="60"/>
              </w:trPr>
              <w:tc>
                <w:tcPr>
                  <w:tcW w:w="424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double" w:sz="4" w:space="0" w:color="000001"/>
                  </w:tcBorders>
                  <w:shd w:val="clear" w:color="auto" w:fill="auto"/>
                  <w:tcMar>
                    <w:left w:w="-7" w:type="dxa"/>
                  </w:tcMar>
                  <w:vAlign w:val="center"/>
                </w:tcPr>
                <w:p w:rsidR="0098646F" w:rsidRDefault="00C06668">
                  <w:pPr>
                    <w:spacing w:after="0" w:line="240" w:lineRule="auto"/>
                    <w:ind w:left="128" w:right="235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Адреса веб-сайту Товариства</w:t>
                  </w:r>
                </w:p>
              </w:tc>
              <w:tc>
                <w:tcPr>
                  <w:tcW w:w="5386" w:type="dxa"/>
                  <w:tcBorders>
                    <w:top w:val="single" w:sz="6" w:space="0" w:color="000001"/>
                    <w:left w:val="double" w:sz="4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auto"/>
                  <w:tcMar>
                    <w:left w:w="-15" w:type="dxa"/>
                  </w:tcMar>
                </w:tcPr>
                <w:p w:rsidR="0098646F" w:rsidRPr="00250C86" w:rsidRDefault="00A73459" w:rsidP="00250C86">
                  <w:pPr>
                    <w:spacing w:after="0" w:line="240" w:lineRule="auto"/>
                    <w:ind w:left="146" w:right="274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  <w:hyperlink w:history="1">
                    <w:r w:rsidR="00250C86" w:rsidRPr="00250C86">
                      <w:rPr>
                        <w:rStyle w:val="af2"/>
                        <w:rFonts w:ascii="Times New Roman" w:eastAsia="Times New Roman" w:hAnsi="Times New Roman"/>
                        <w:sz w:val="28"/>
                        <w:szCs w:val="28"/>
                        <w:lang w:val="ru-RU" w:eastAsia="uk-UA"/>
                      </w:rPr>
                      <w:t>https</w:t>
                    </w:r>
                    <w:r w:rsidR="00250C86" w:rsidRPr="00250C86">
                      <w:rPr>
                        <w:rStyle w:val="af2"/>
                        <w:rFonts w:ascii="Times New Roman" w:eastAsia="Times New Roman" w:hAnsi="Times New Roman"/>
                        <w:sz w:val="28"/>
                        <w:szCs w:val="28"/>
                        <w:lang w:eastAsia="uk-UA"/>
                      </w:rPr>
                      <w:t>://</w:t>
                    </w:r>
                  </w:hyperlink>
                  <w:r w:rsidR="00250C86" w:rsidRPr="00250C86"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  <w:t xml:space="preserve"> </w:t>
                  </w:r>
                  <w:hyperlink r:id="rId7" w:history="1">
                    <w:r w:rsidR="00250C86" w:rsidRPr="00250C86">
                      <w:rPr>
                        <w:rStyle w:val="af2"/>
                        <w:rFonts w:ascii="Times New Roman" w:hAnsi="Times New Roman"/>
                        <w:sz w:val="28"/>
                        <w:szCs w:val="28"/>
                      </w:rPr>
                      <w:t>mgok.dp.ua</w:t>
                    </w:r>
                  </w:hyperlink>
                </w:p>
              </w:tc>
            </w:tr>
          </w:tbl>
          <w:p w:rsidR="0098646F" w:rsidRDefault="0098646F"/>
          <w:p w:rsidR="0098646F" w:rsidRDefault="00C0666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виконання вимог пункту 122 "Положення про розкриття інформації емітентами цінних паперів, а також особами, які надають забезпечення за такими цінними паперами", затвердженого рішенням НКЦПФР № 608 від 06.06.2023, повідомляємо про відсутність у Товариства документів, розміщення інформації про які передбачено на власному веб-сайті передбачено розділом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даного Положення і вимоги щодо обов'язкової наявності яких передбачені законом та цим Положенням:</w:t>
            </w:r>
          </w:p>
          <w:p w:rsidR="0098646F" w:rsidRDefault="0098646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Style w:val="af1"/>
              <w:tblW w:w="9805" w:type="dxa"/>
              <w:tblCellMar>
                <w:left w:w="98" w:type="dxa"/>
              </w:tblCellMar>
              <w:tblLook w:val="04A0" w:firstRow="1" w:lastRow="0" w:firstColumn="1" w:lastColumn="0" w:noHBand="0" w:noVBand="1"/>
            </w:tblPr>
            <w:tblGrid>
              <w:gridCol w:w="722"/>
              <w:gridCol w:w="4678"/>
              <w:gridCol w:w="4405"/>
            </w:tblGrid>
            <w:tr w:rsidR="0098646F">
              <w:tc>
                <w:tcPr>
                  <w:tcW w:w="722" w:type="dxa"/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98646F" w:rsidRDefault="00C06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4678" w:type="dxa"/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98646F" w:rsidRDefault="00C06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документ або інформація, </w:t>
                  </w:r>
                </w:p>
                <w:p w:rsidR="0098646F" w:rsidRDefault="00C06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які відсутні на власному веб-сайті</w:t>
                  </w:r>
                </w:p>
              </w:tc>
              <w:tc>
                <w:tcPr>
                  <w:tcW w:w="4405" w:type="dxa"/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98646F" w:rsidRDefault="00C06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причина відсутності документів</w:t>
                  </w:r>
                </w:p>
              </w:tc>
            </w:tr>
            <w:tr w:rsidR="0098646F">
              <w:tc>
                <w:tcPr>
                  <w:tcW w:w="722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78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Календарний план розміщення регулярної інформації.</w:t>
                  </w:r>
                </w:p>
              </w:tc>
              <w:tc>
                <w:tcPr>
                  <w:tcW w:w="4405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Товариство не є Емітентом, яке здійснило публічну пропозицію та/або цінні папери якого допущені до торгів на регульованому фондовому ринку.</w:t>
                  </w:r>
                </w:p>
              </w:tc>
            </w:tr>
            <w:tr w:rsidR="0098646F">
              <w:tc>
                <w:tcPr>
                  <w:tcW w:w="722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78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Розкриття структури власності приватним акціонерним товариством, 100 відсотків акцій якого прямо або опосередковано належать одній особі.</w:t>
                  </w:r>
                </w:p>
              </w:tc>
              <w:tc>
                <w:tcPr>
                  <w:tcW w:w="4405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Товариство не належить прямо або опосередковано одні</w:t>
                  </w:r>
                  <w:r w:rsidR="00A366B4">
                    <w:rPr>
                      <w:rFonts w:ascii="Times New Roman" w:hAnsi="Times New Roman"/>
                      <w:sz w:val="24"/>
                      <w:szCs w:val="24"/>
                    </w:rPr>
                    <w:t>й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особі.</w:t>
                  </w:r>
                </w:p>
              </w:tc>
            </w:tr>
            <w:tr w:rsidR="0098646F">
              <w:tc>
                <w:tcPr>
                  <w:tcW w:w="722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78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Розкриття інформації, що міститься в проспекті (інформації про випуск) цінних паперів та змінах до проспекту (інформації про випуск) цінних паперів. </w:t>
                  </w:r>
                </w:p>
              </w:tc>
              <w:tc>
                <w:tcPr>
                  <w:tcW w:w="4405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Товариством не приймалось рішення про затвердження проспекту (інформації про випуск) цінних паперів та змін до нього.</w:t>
                  </w:r>
                </w:p>
              </w:tc>
            </w:tr>
            <w:tr w:rsidR="0098646F">
              <w:tc>
                <w:tcPr>
                  <w:tcW w:w="722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78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Розміщення звіту про результати емісії цінних паперів.</w:t>
                  </w:r>
                </w:p>
              </w:tc>
              <w:tc>
                <w:tcPr>
                  <w:tcW w:w="4405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Товариством не приймалось рішення про затвердження звіту про результати емісії цінних паперів.</w:t>
                  </w:r>
                </w:p>
              </w:tc>
            </w:tr>
            <w:tr w:rsidR="0098646F">
              <w:tc>
                <w:tcPr>
                  <w:tcW w:w="722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78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Засновницький (установчий) договір.</w:t>
                  </w:r>
                </w:p>
              </w:tc>
              <w:tc>
                <w:tcPr>
                  <w:tcW w:w="4405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Засновницький (установчий) договір не укладався.</w:t>
                  </w:r>
                </w:p>
              </w:tc>
            </w:tr>
            <w:tr w:rsidR="0098646F">
              <w:tc>
                <w:tcPr>
                  <w:tcW w:w="722" w:type="dxa"/>
                  <w:shd w:val="clear" w:color="auto" w:fill="auto"/>
                  <w:tcMar>
                    <w:left w:w="98" w:type="dxa"/>
                  </w:tcMar>
                </w:tcPr>
                <w:p w:rsidR="0098646F" w:rsidRPr="00BB4BAA" w:rsidRDefault="00C06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4BAA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78" w:type="dxa"/>
                  <w:shd w:val="clear" w:color="auto" w:fill="auto"/>
                  <w:tcMar>
                    <w:left w:w="98" w:type="dxa"/>
                  </w:tcMar>
                </w:tcPr>
                <w:p w:rsidR="0098646F" w:rsidRPr="00BB4BAA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4B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Внутрішні документи (положення) та зміни до них, які регулюють питання щодо:</w:t>
                  </w:r>
                </w:p>
                <w:p w:rsidR="0098646F" w:rsidRPr="00BB4BAA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 w:rsidRPr="00BB4B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організації контролю;</w:t>
                  </w:r>
                </w:p>
                <w:p w:rsidR="0098646F" w:rsidRPr="00BB4BAA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bookmarkStart w:id="1" w:name="n634"/>
                  <w:bookmarkEnd w:id="1"/>
                  <w:r w:rsidRPr="00BB4B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управління ризиками;</w:t>
                  </w:r>
                </w:p>
                <w:p w:rsidR="0098646F" w:rsidRPr="00BB4BAA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bookmarkStart w:id="2" w:name="n635"/>
                  <w:bookmarkStart w:id="3" w:name="n636"/>
                  <w:bookmarkEnd w:id="2"/>
                  <w:bookmarkEnd w:id="3"/>
                  <w:r w:rsidRPr="00BB4B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управління конфліктом інтересів;</w:t>
                  </w:r>
                </w:p>
                <w:p w:rsidR="0098646F" w:rsidRPr="00BB4BAA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bookmarkStart w:id="4" w:name="n637"/>
                  <w:bookmarkEnd w:id="4"/>
                  <w:r w:rsidRPr="00BB4B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порядку розгляду скарг;</w:t>
                  </w:r>
                </w:p>
                <w:p w:rsidR="0098646F" w:rsidRPr="00BB4BAA" w:rsidRDefault="00C06668">
                  <w:pPr>
                    <w:spacing w:after="0" w:line="240" w:lineRule="auto"/>
                    <w:jc w:val="both"/>
                    <w:rPr>
                      <w:color w:val="000000"/>
                    </w:rPr>
                  </w:pPr>
                  <w:bookmarkStart w:id="5" w:name="n639"/>
                  <w:bookmarkEnd w:id="5"/>
                  <w:r w:rsidRPr="00BB4B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політики різноманіття;</w:t>
                  </w:r>
                </w:p>
                <w:p w:rsidR="0098646F" w:rsidRPr="00BB4BAA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bookmarkStart w:id="6" w:name="n640"/>
                  <w:bookmarkEnd w:id="6"/>
                  <w:r w:rsidRPr="00BB4B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сталого розвитку;</w:t>
                  </w:r>
                </w:p>
                <w:p w:rsidR="0098646F" w:rsidRPr="00BB4BAA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bookmarkStart w:id="7" w:name="n641"/>
                  <w:bookmarkStart w:id="8" w:name="n642"/>
                  <w:bookmarkEnd w:id="7"/>
                  <w:bookmarkEnd w:id="8"/>
                  <w:r w:rsidRPr="00BB4B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- дивідендної політики;</w:t>
                  </w:r>
                </w:p>
                <w:p w:rsidR="0098646F" w:rsidRPr="00BB4BAA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bookmarkStart w:id="9" w:name="n643"/>
                  <w:bookmarkEnd w:id="9"/>
                  <w:r w:rsidRPr="00BB4B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розкриття інформації;</w:t>
                  </w:r>
                </w:p>
                <w:p w:rsidR="0098646F" w:rsidRPr="00BB4BAA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bookmarkStart w:id="10" w:name="n644"/>
                  <w:bookmarkEnd w:id="10"/>
                  <w:r w:rsidRPr="00BB4B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запобігання корупції.</w:t>
                  </w:r>
                </w:p>
                <w:p w:rsidR="0098646F" w:rsidRPr="00BB4BAA" w:rsidRDefault="0098646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405" w:type="dxa"/>
                  <w:shd w:val="clear" w:color="auto" w:fill="auto"/>
                  <w:tcMar>
                    <w:left w:w="98" w:type="dxa"/>
                  </w:tcMar>
                </w:tcPr>
                <w:p w:rsidR="0098646F" w:rsidRPr="00BB4BAA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4BA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Товариством не приймались рішення про затвердження внутрішніх документів (положення), які регулюють питання щодо:</w:t>
                  </w:r>
                </w:p>
                <w:p w:rsidR="0098646F" w:rsidRPr="00BB4BAA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 w:rsidRPr="00BB4B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організації контролю;</w:t>
                  </w:r>
                </w:p>
                <w:p w:rsidR="0098646F" w:rsidRPr="00BB4BAA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 w:rsidRPr="00BB4B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управління ризиками;</w:t>
                  </w:r>
                </w:p>
                <w:p w:rsidR="0098646F" w:rsidRPr="00BB4BAA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 w:rsidRPr="00BB4B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управління конфліктом інтересів;</w:t>
                  </w:r>
                </w:p>
                <w:p w:rsidR="0098646F" w:rsidRPr="00BB4BAA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 w:rsidRPr="00BB4B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порядку розгляду скарг;</w:t>
                  </w:r>
                </w:p>
                <w:p w:rsidR="0098646F" w:rsidRPr="00BB4BAA" w:rsidRDefault="00C06668">
                  <w:pPr>
                    <w:spacing w:after="0" w:line="240" w:lineRule="auto"/>
                    <w:jc w:val="both"/>
                    <w:rPr>
                      <w:color w:val="000000"/>
                    </w:rPr>
                  </w:pPr>
                  <w:r w:rsidRPr="00BB4B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політики різноманіття;</w:t>
                  </w:r>
                </w:p>
                <w:p w:rsidR="0098646F" w:rsidRPr="00BB4BAA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 w:rsidRPr="00BB4B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- сталого розвитку;</w:t>
                  </w:r>
                </w:p>
                <w:p w:rsidR="0098646F" w:rsidRPr="00BB4BAA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 w:rsidRPr="00BB4B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дивідендної політики;</w:t>
                  </w:r>
                </w:p>
                <w:p w:rsidR="0098646F" w:rsidRPr="00BB4BAA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 w:rsidRPr="00BB4B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розкриття інформації;</w:t>
                  </w:r>
                </w:p>
                <w:p w:rsidR="0098646F" w:rsidRPr="00BB4BAA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BB4BA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запобігання корупції.</w:t>
                  </w:r>
                </w:p>
              </w:tc>
            </w:tr>
            <w:tr w:rsidR="0098646F">
              <w:tc>
                <w:tcPr>
                  <w:tcW w:w="722" w:type="dxa"/>
                  <w:shd w:val="clear" w:color="auto" w:fill="auto"/>
                  <w:tcMar>
                    <w:left w:w="98" w:type="dxa"/>
                  </w:tcMar>
                </w:tcPr>
                <w:p w:rsidR="0098646F" w:rsidRPr="00570B09" w:rsidRDefault="00C06668">
                  <w:pPr>
                    <w:spacing w:after="0" w:line="240" w:lineRule="auto"/>
                    <w:jc w:val="center"/>
                    <w:rPr>
                      <w:color w:val="000000" w:themeColor="text1"/>
                    </w:rPr>
                  </w:pPr>
                  <w:r w:rsidRPr="00570B0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7</w:t>
                  </w:r>
                </w:p>
              </w:tc>
              <w:tc>
                <w:tcPr>
                  <w:tcW w:w="4678" w:type="dxa"/>
                  <w:shd w:val="clear" w:color="auto" w:fill="auto"/>
                  <w:tcMar>
                    <w:left w:w="98" w:type="dxa"/>
                  </w:tcMar>
                </w:tcPr>
                <w:p w:rsidR="0098646F" w:rsidRPr="00E229E5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229E5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Кодекс корпоративного управління товариства.</w:t>
                  </w:r>
                </w:p>
              </w:tc>
              <w:tc>
                <w:tcPr>
                  <w:tcW w:w="4405" w:type="dxa"/>
                  <w:shd w:val="clear" w:color="auto" w:fill="auto"/>
                  <w:tcMar>
                    <w:left w:w="98" w:type="dxa"/>
                  </w:tcMar>
                </w:tcPr>
                <w:p w:rsidR="0098646F" w:rsidRPr="00E229E5" w:rsidRDefault="00CE50C0" w:rsidP="00E229E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229E5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Рішенням Загальних зборів акціонерів АТ «МАРГАНЕЦЬКИЙ ГЗК», які відбулись 12.04.2024 року</w:t>
                  </w:r>
                  <w:r w:rsidR="00010704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u-RU"/>
                    </w:rPr>
                    <w:t>,</w:t>
                  </w:r>
                  <w:bookmarkStart w:id="11" w:name="_GoBack"/>
                  <w:bookmarkEnd w:id="11"/>
                  <w:r w:rsidR="00E229E5" w:rsidRPr="00E229E5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E229E5" w:rsidRPr="00E229E5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діючі принципи (кодекс) корпоративного управління</w:t>
                  </w:r>
                  <w:r w:rsidRPr="00E229E5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було скасовано.</w:t>
                  </w:r>
                </w:p>
              </w:tc>
            </w:tr>
            <w:tr w:rsidR="0098646F">
              <w:tc>
                <w:tcPr>
                  <w:tcW w:w="722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78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Проспект(и) (зміни до проспекту(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)) емісії цінних паперів, проспект(и) (зміни до проспекту(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ів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)) цінних паперів (інформація про випуск іпотечних сертифікатів - для емітентів іпотечних сертифікатів) або рішення про емісію цінних паперів (у разі їх публічної пропозиції) (у разі публічного розміщення цінних паперів).</w:t>
                  </w:r>
                </w:p>
              </w:tc>
              <w:tc>
                <w:tcPr>
                  <w:tcW w:w="4405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Публічна пропозиція акцій Товариством не здійснювалась. Товариство не є емітентом іпотечних сертифікатів.</w:t>
                  </w:r>
                </w:p>
              </w:tc>
            </w:tr>
            <w:tr w:rsidR="0098646F">
              <w:tc>
                <w:tcPr>
                  <w:tcW w:w="722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78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Свідоцтво(а) про реєстрацію випуску інших цінних паперів товариства (крім акцій).</w:t>
                  </w:r>
                </w:p>
              </w:tc>
              <w:tc>
                <w:tcPr>
                  <w:tcW w:w="4405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Товариство не здійснювало емісію та розміщення інших цінних паперів, крім простих іменних акцій.</w:t>
                  </w:r>
                </w:p>
              </w:tc>
            </w:tr>
            <w:tr w:rsidR="0098646F">
              <w:trPr>
                <w:trHeight w:val="623"/>
              </w:trPr>
              <w:tc>
                <w:tcPr>
                  <w:tcW w:w="722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4678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Повідомлення про можливість реалізації акціонерами переважного права.</w:t>
                  </w:r>
                </w:p>
              </w:tc>
              <w:tc>
                <w:tcPr>
                  <w:tcW w:w="4405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Товариство не здійснювало в період з </w:t>
                  </w:r>
                  <w:r w:rsidRPr="00B909D8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2011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року додаткової емісії акцій.</w:t>
                  </w:r>
                </w:p>
              </w:tc>
            </w:tr>
            <w:tr w:rsidR="0098646F">
              <w:tc>
                <w:tcPr>
                  <w:tcW w:w="722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4678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Повідомлення про прийняте загальними зборами рішення про припинення акціонерного товариства.</w:t>
                  </w:r>
                </w:p>
              </w:tc>
              <w:tc>
                <w:tcPr>
                  <w:tcW w:w="4405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Товариством не приймалось рішення про припинення акціонерного товариства.</w:t>
                  </w:r>
                </w:p>
              </w:tc>
            </w:tr>
            <w:tr w:rsidR="0098646F">
              <w:tc>
                <w:tcPr>
                  <w:tcW w:w="722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4678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Повідомлення про прийняте рішення про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дематеріалізацію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цінних паперів (забезпечення існування цінних паперів в бездокументарній формі).</w:t>
                  </w:r>
                </w:p>
              </w:tc>
              <w:tc>
                <w:tcPr>
                  <w:tcW w:w="4405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Усі акції товариства є іменними та існують виключно в електронній формі.</w:t>
                  </w:r>
                  <w:r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  <w:p w:rsidR="0098646F" w:rsidRDefault="0098646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</w:p>
                <w:p w:rsidR="0098646F" w:rsidRDefault="0098646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98646F">
              <w:tc>
                <w:tcPr>
                  <w:tcW w:w="722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4678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Звіт(и) адміністратора за випуском облігацій за результатами перевірки іпотечного покриття.</w:t>
                  </w:r>
                </w:p>
              </w:tc>
              <w:tc>
                <w:tcPr>
                  <w:tcW w:w="4405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Товариство не є емітентом іпотечних облігацій.</w:t>
                  </w:r>
                </w:p>
              </w:tc>
            </w:tr>
            <w:tr w:rsidR="0098646F">
              <w:tc>
                <w:tcPr>
                  <w:tcW w:w="722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4678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Кодекс етики, в тому числі звіти щодо впровадження і будь-які зміни до нього.</w:t>
                  </w:r>
                </w:p>
              </w:tc>
              <w:tc>
                <w:tcPr>
                  <w:tcW w:w="4405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Товариством не приймалось рішення про затвердження кодексу етики.</w:t>
                  </w:r>
                </w:p>
              </w:tc>
            </w:tr>
            <w:tr w:rsidR="0098646F">
              <w:tc>
                <w:tcPr>
                  <w:tcW w:w="722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5</w:t>
                  </w:r>
                </w:p>
              </w:tc>
              <w:tc>
                <w:tcPr>
                  <w:tcW w:w="4678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Корпоративний договір, стороною якого є держава, територіальна громада, державне або комунальне підприємство чи юридична особа, у статутному капіталі якої 25 і більше відсотків акцій прямо чи опосередковано належать державі або територіальній громаді.</w:t>
                  </w:r>
                </w:p>
              </w:tc>
              <w:tc>
                <w:tcPr>
                  <w:tcW w:w="4405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Товариством не укладався корпоративний договір, стороною якого є держава, територіальна громада, державне або комунальне підприємство чи юридична особа, у статутному капіталі якої 25 і більше відсотків акцій прямо чи опосередковано належать державі або територіальній громаді.</w:t>
                  </w:r>
                </w:p>
              </w:tc>
            </w:tr>
            <w:tr w:rsidR="0098646F">
              <w:tc>
                <w:tcPr>
                  <w:tcW w:w="722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6</w:t>
                  </w:r>
                </w:p>
              </w:tc>
              <w:tc>
                <w:tcPr>
                  <w:tcW w:w="4678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Розкриття інформації про придбання акцій акціонерного товариства за наслідками придбання контрольного пакета акцій, або значного контрольного пакета акцій, або домінуючого контрольного пакета акцій.</w:t>
                  </w:r>
                </w:p>
              </w:tc>
              <w:tc>
                <w:tcPr>
                  <w:tcW w:w="4405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Придбання акцій акціонерного товариства за наслідками придбання контрольного пакета акцій, або значного контрольного пакета акцій, або домінуючого контрольного пакета акцій в Товаристві не відбувалось.</w:t>
                  </w:r>
                </w:p>
              </w:tc>
            </w:tr>
            <w:tr w:rsidR="0098646F">
              <w:tc>
                <w:tcPr>
                  <w:tcW w:w="722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7</w:t>
                  </w:r>
                </w:p>
              </w:tc>
              <w:tc>
                <w:tcPr>
                  <w:tcW w:w="4678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Повідомлення про створення акціонерного товариства однією особою або про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придбання однією особою усіх акцій товариства.</w:t>
                  </w:r>
                </w:p>
              </w:tc>
              <w:tc>
                <w:tcPr>
                  <w:tcW w:w="4405" w:type="dxa"/>
                  <w:shd w:val="clear" w:color="auto" w:fill="auto"/>
                  <w:tcMar>
                    <w:left w:w="98" w:type="dxa"/>
                  </w:tcMar>
                </w:tcPr>
                <w:p w:rsidR="0098646F" w:rsidRDefault="00C06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Товариство не створювалось однією особою, усі акції Товариства не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придбавались однією особою.</w:t>
                  </w:r>
                </w:p>
              </w:tc>
            </w:tr>
          </w:tbl>
          <w:p w:rsidR="0098646F" w:rsidRDefault="0098646F">
            <w:pPr>
              <w:widowControl w:val="0"/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646F" w:rsidRDefault="0098646F">
            <w:pPr>
              <w:widowControl w:val="0"/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</w:p>
        </w:tc>
      </w:tr>
    </w:tbl>
    <w:p w:rsidR="0098646F" w:rsidRDefault="0098646F">
      <w:pPr>
        <w:spacing w:after="0" w:line="240" w:lineRule="auto"/>
        <w:jc w:val="both"/>
      </w:pPr>
    </w:p>
    <w:sectPr w:rsidR="0098646F">
      <w:headerReference w:type="default" r:id="rId8"/>
      <w:pgSz w:w="11906" w:h="16838"/>
      <w:pgMar w:top="993" w:right="566" w:bottom="1135" w:left="1417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459" w:rsidRDefault="00A73459">
      <w:pPr>
        <w:spacing w:after="0" w:line="240" w:lineRule="auto"/>
      </w:pPr>
      <w:r>
        <w:separator/>
      </w:r>
    </w:p>
  </w:endnote>
  <w:endnote w:type="continuationSeparator" w:id="0">
    <w:p w:rsidR="00A73459" w:rsidRDefault="00A73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459" w:rsidRDefault="00A73459">
      <w:pPr>
        <w:spacing w:after="0" w:line="240" w:lineRule="auto"/>
      </w:pPr>
      <w:r>
        <w:separator/>
      </w:r>
    </w:p>
  </w:footnote>
  <w:footnote w:type="continuationSeparator" w:id="0">
    <w:p w:rsidR="00A73459" w:rsidRDefault="00A73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4679340"/>
      <w:docPartObj>
        <w:docPartGallery w:val="Page Numbers (Top of Page)"/>
        <w:docPartUnique/>
      </w:docPartObj>
    </w:sdtPr>
    <w:sdtEndPr/>
    <w:sdtContent>
      <w:p w:rsidR="0098646F" w:rsidRDefault="00C06668">
        <w:pPr>
          <w:pStyle w:val="af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010704">
          <w:rPr>
            <w:noProof/>
          </w:rPr>
          <w:t>2</w:t>
        </w:r>
        <w:r>
          <w:fldChar w:fldCharType="end"/>
        </w:r>
      </w:p>
    </w:sdtContent>
  </w:sdt>
  <w:p w:rsidR="0098646F" w:rsidRDefault="0098646F">
    <w:pPr>
      <w:pStyle w:val="af"/>
      <w:spacing w:after="0" w:line="240" w:lineRule="auto"/>
      <w:jc w:val="right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46F"/>
    <w:rsid w:val="00010704"/>
    <w:rsid w:val="001F1976"/>
    <w:rsid w:val="00250C86"/>
    <w:rsid w:val="00284229"/>
    <w:rsid w:val="003A6F7D"/>
    <w:rsid w:val="004B7120"/>
    <w:rsid w:val="00570B09"/>
    <w:rsid w:val="00796C05"/>
    <w:rsid w:val="00824081"/>
    <w:rsid w:val="009155B6"/>
    <w:rsid w:val="009533DB"/>
    <w:rsid w:val="0098646F"/>
    <w:rsid w:val="009F2345"/>
    <w:rsid w:val="00A366B4"/>
    <w:rsid w:val="00A73459"/>
    <w:rsid w:val="00B227A2"/>
    <w:rsid w:val="00B909D8"/>
    <w:rsid w:val="00BB4BAA"/>
    <w:rsid w:val="00C06668"/>
    <w:rsid w:val="00CB6AAF"/>
    <w:rsid w:val="00CE50C0"/>
    <w:rsid w:val="00E17B34"/>
    <w:rsid w:val="00E229E5"/>
    <w:rsid w:val="00ED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9E4A33"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5F44B7"/>
    <w:rPr>
      <w:i/>
      <w:iCs/>
    </w:rPr>
  </w:style>
  <w:style w:type="character" w:customStyle="1" w:styleId="a4">
    <w:name w:val="Текст выноски Знак"/>
    <w:uiPriority w:val="99"/>
    <w:semiHidden/>
    <w:qFormat/>
    <w:rsid w:val="00A03E14"/>
    <w:rPr>
      <w:rFonts w:ascii="Segoe UI" w:hAnsi="Segoe UI" w:cs="Segoe UI"/>
      <w:sz w:val="18"/>
      <w:szCs w:val="18"/>
      <w:lang w:eastAsia="en-US"/>
    </w:rPr>
  </w:style>
  <w:style w:type="character" w:customStyle="1" w:styleId="a5">
    <w:name w:val="Верхний колонтитул Знак"/>
    <w:uiPriority w:val="99"/>
    <w:qFormat/>
    <w:rsid w:val="009E4A33"/>
    <w:rPr>
      <w:sz w:val="22"/>
      <w:szCs w:val="22"/>
      <w:lang w:eastAsia="en-US"/>
    </w:rPr>
  </w:style>
  <w:style w:type="character" w:customStyle="1" w:styleId="a6">
    <w:name w:val="Нижний колонтитул Знак"/>
    <w:uiPriority w:val="99"/>
    <w:qFormat/>
    <w:rsid w:val="009E4A33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qFormat/>
    <w:rsid w:val="009E4A33"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customStyle="1" w:styleId="fontstyle01">
    <w:name w:val="fontstyle01"/>
    <w:qFormat/>
    <w:rsid w:val="006953DF"/>
    <w:rPr>
      <w:rFonts w:ascii="TimesNewRomanPSMT" w:hAnsi="TimesNewRomanPSMT"/>
      <w:b w:val="0"/>
      <w:bCs w:val="0"/>
      <w:i w:val="0"/>
      <w:iCs w:val="0"/>
      <w:color w:val="000000"/>
      <w:sz w:val="36"/>
      <w:szCs w:val="36"/>
    </w:rPr>
  </w:style>
  <w:style w:type="character" w:customStyle="1" w:styleId="ListLabel1">
    <w:name w:val="ListLabel 1"/>
    <w:qFormat/>
    <w:rPr>
      <w:rFonts w:eastAsia="Calibri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Normal (Web)"/>
    <w:basedOn w:val="a"/>
    <w:uiPriority w:val="99"/>
    <w:qFormat/>
    <w:rsid w:val="005F44B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5F44B7"/>
    <w:pPr>
      <w:ind w:left="720"/>
      <w:contextualSpacing/>
    </w:pPr>
  </w:style>
  <w:style w:type="paragraph" w:styleId="ae">
    <w:name w:val="Balloon Text"/>
    <w:basedOn w:val="a"/>
    <w:uiPriority w:val="99"/>
    <w:semiHidden/>
    <w:unhideWhenUsed/>
    <w:qFormat/>
    <w:rsid w:val="00A03E1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">
    <w:name w:val="header"/>
    <w:basedOn w:val="a"/>
    <w:uiPriority w:val="99"/>
    <w:unhideWhenUsed/>
    <w:rsid w:val="009E4A33"/>
    <w:pPr>
      <w:tabs>
        <w:tab w:val="center" w:pos="4819"/>
        <w:tab w:val="right" w:pos="9639"/>
      </w:tabs>
    </w:pPr>
  </w:style>
  <w:style w:type="paragraph" w:styleId="af0">
    <w:name w:val="footer"/>
    <w:basedOn w:val="a"/>
    <w:uiPriority w:val="99"/>
    <w:unhideWhenUsed/>
    <w:rsid w:val="009E4A33"/>
    <w:pPr>
      <w:tabs>
        <w:tab w:val="center" w:pos="4819"/>
        <w:tab w:val="right" w:pos="9639"/>
      </w:tabs>
    </w:pPr>
  </w:style>
  <w:style w:type="paragraph" w:customStyle="1" w:styleId="xmsonormal">
    <w:name w:val="x_msonormal"/>
    <w:basedOn w:val="a"/>
    <w:qFormat/>
    <w:rsid w:val="001B62D4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">
    <w:name w:val="rvps2"/>
    <w:basedOn w:val="a"/>
    <w:qFormat/>
    <w:rsid w:val="0041557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f1">
    <w:name w:val="Table Grid"/>
    <w:basedOn w:val="a1"/>
    <w:uiPriority w:val="39"/>
    <w:rsid w:val="00A07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250C8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9E4A33"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5F44B7"/>
    <w:rPr>
      <w:i/>
      <w:iCs/>
    </w:rPr>
  </w:style>
  <w:style w:type="character" w:customStyle="1" w:styleId="a4">
    <w:name w:val="Текст выноски Знак"/>
    <w:uiPriority w:val="99"/>
    <w:semiHidden/>
    <w:qFormat/>
    <w:rsid w:val="00A03E14"/>
    <w:rPr>
      <w:rFonts w:ascii="Segoe UI" w:hAnsi="Segoe UI" w:cs="Segoe UI"/>
      <w:sz w:val="18"/>
      <w:szCs w:val="18"/>
      <w:lang w:eastAsia="en-US"/>
    </w:rPr>
  </w:style>
  <w:style w:type="character" w:customStyle="1" w:styleId="a5">
    <w:name w:val="Верхний колонтитул Знак"/>
    <w:uiPriority w:val="99"/>
    <w:qFormat/>
    <w:rsid w:val="009E4A33"/>
    <w:rPr>
      <w:sz w:val="22"/>
      <w:szCs w:val="22"/>
      <w:lang w:eastAsia="en-US"/>
    </w:rPr>
  </w:style>
  <w:style w:type="character" w:customStyle="1" w:styleId="a6">
    <w:name w:val="Нижний колонтитул Знак"/>
    <w:uiPriority w:val="99"/>
    <w:qFormat/>
    <w:rsid w:val="009E4A33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qFormat/>
    <w:rsid w:val="009E4A33"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customStyle="1" w:styleId="fontstyle01">
    <w:name w:val="fontstyle01"/>
    <w:qFormat/>
    <w:rsid w:val="006953DF"/>
    <w:rPr>
      <w:rFonts w:ascii="TimesNewRomanPSMT" w:hAnsi="TimesNewRomanPSMT"/>
      <w:b w:val="0"/>
      <w:bCs w:val="0"/>
      <w:i w:val="0"/>
      <w:iCs w:val="0"/>
      <w:color w:val="000000"/>
      <w:sz w:val="36"/>
      <w:szCs w:val="36"/>
    </w:rPr>
  </w:style>
  <w:style w:type="character" w:customStyle="1" w:styleId="ListLabel1">
    <w:name w:val="ListLabel 1"/>
    <w:qFormat/>
    <w:rPr>
      <w:rFonts w:eastAsia="Calibri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Normal (Web)"/>
    <w:basedOn w:val="a"/>
    <w:uiPriority w:val="99"/>
    <w:qFormat/>
    <w:rsid w:val="005F44B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5F44B7"/>
    <w:pPr>
      <w:ind w:left="720"/>
      <w:contextualSpacing/>
    </w:pPr>
  </w:style>
  <w:style w:type="paragraph" w:styleId="ae">
    <w:name w:val="Balloon Text"/>
    <w:basedOn w:val="a"/>
    <w:uiPriority w:val="99"/>
    <w:semiHidden/>
    <w:unhideWhenUsed/>
    <w:qFormat/>
    <w:rsid w:val="00A03E1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">
    <w:name w:val="header"/>
    <w:basedOn w:val="a"/>
    <w:uiPriority w:val="99"/>
    <w:unhideWhenUsed/>
    <w:rsid w:val="009E4A33"/>
    <w:pPr>
      <w:tabs>
        <w:tab w:val="center" w:pos="4819"/>
        <w:tab w:val="right" w:pos="9639"/>
      </w:tabs>
    </w:pPr>
  </w:style>
  <w:style w:type="paragraph" w:styleId="af0">
    <w:name w:val="footer"/>
    <w:basedOn w:val="a"/>
    <w:uiPriority w:val="99"/>
    <w:unhideWhenUsed/>
    <w:rsid w:val="009E4A33"/>
    <w:pPr>
      <w:tabs>
        <w:tab w:val="center" w:pos="4819"/>
        <w:tab w:val="right" w:pos="9639"/>
      </w:tabs>
    </w:pPr>
  </w:style>
  <w:style w:type="paragraph" w:customStyle="1" w:styleId="xmsonormal">
    <w:name w:val="x_msonormal"/>
    <w:basedOn w:val="a"/>
    <w:qFormat/>
    <w:rsid w:val="001B62D4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">
    <w:name w:val="rvps2"/>
    <w:basedOn w:val="a"/>
    <w:qFormat/>
    <w:rsid w:val="0041557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f1">
    <w:name w:val="Table Grid"/>
    <w:basedOn w:val="a1"/>
    <w:uiPriority w:val="39"/>
    <w:rsid w:val="00A07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250C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gok.dp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action1</cp:lastModifiedBy>
  <cp:revision>2</cp:revision>
  <cp:lastPrinted>2024-05-30T12:37:00Z</cp:lastPrinted>
  <dcterms:created xsi:type="dcterms:W3CDTF">2025-03-05T14:03:00Z</dcterms:created>
  <dcterms:modified xsi:type="dcterms:W3CDTF">2025-03-05T14:03:00Z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